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9072"/>
      </w:tblGrid>
      <w:tr w:rsidR="00893109">
        <w:trPr>
          <w:trHeight w:val="1124"/>
        </w:trPr>
        <w:tc>
          <w:tcPr>
            <w:tcW w:w="54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93109" w:rsidRDefault="00893109">
            <w:pPr>
              <w:snapToGrid w:val="0"/>
              <w:jc w:val="center"/>
            </w:pP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3109" w:rsidRDefault="00B418CE">
            <w:pPr>
              <w:pStyle w:val="Web"/>
              <w:snapToGrid w:val="0"/>
              <w:spacing w:before="0" w:after="0"/>
              <w:jc w:val="center"/>
            </w:pPr>
            <w:r>
              <w:rPr>
                <w:rFonts w:ascii="標楷體" w:eastAsia="標楷體" w:hAnsi="標楷體"/>
                <w:b/>
                <w:bCs/>
                <w:color w:val="000000"/>
              </w:rPr>
              <w:t>國立金門高級農工職業學校課程發展委員會組織要點</w:t>
            </w:r>
          </w:p>
          <w:p w:rsidR="00893109" w:rsidRDefault="00893109">
            <w:pPr>
              <w:pStyle w:val="Web"/>
              <w:snapToGrid w:val="0"/>
              <w:spacing w:before="0" w:after="0"/>
              <w:jc w:val="right"/>
              <w:rPr>
                <w:rFonts w:ascii="標楷體" w:eastAsia="標楷體" w:hAnsi="標楷體"/>
                <w:color w:val="000000"/>
              </w:rPr>
            </w:pPr>
          </w:p>
          <w:p w:rsidR="00893109" w:rsidRDefault="00B418CE">
            <w:pPr>
              <w:pStyle w:val="Web"/>
              <w:snapToGrid w:val="0"/>
              <w:spacing w:before="0" w:after="0"/>
              <w:jc w:val="right"/>
              <w:rPr>
                <w:rFonts w:ascii="標楷體" w:eastAsia="標楷體" w:hAnsi="標楷體" w:cs="細明體"/>
                <w:color w:val="000000"/>
                <w:sz w:val="20"/>
              </w:rPr>
            </w:pPr>
            <w:r>
              <w:rPr>
                <w:rFonts w:ascii="標楷體" w:eastAsia="標楷體" w:hAnsi="標楷體" w:cs="細明體"/>
                <w:color w:val="000000"/>
                <w:sz w:val="20"/>
              </w:rPr>
              <w:t>中華民國11</w:t>
            </w:r>
            <w:r w:rsidR="00F4607B">
              <w:rPr>
                <w:rFonts w:ascii="標楷體" w:eastAsia="標楷體" w:hAnsi="標楷體" w:cs="細明體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細明體"/>
                <w:color w:val="000000"/>
                <w:sz w:val="20"/>
              </w:rPr>
              <w:t>年11月2</w:t>
            </w:r>
            <w:r w:rsidR="00F4607B">
              <w:rPr>
                <w:rFonts w:ascii="標楷體" w:eastAsia="標楷體" w:hAnsi="標楷體" w:cs="細明體" w:hint="eastAsia"/>
                <w:color w:val="000000"/>
                <w:sz w:val="20"/>
              </w:rPr>
              <w:t>5</w:t>
            </w:r>
            <w:r w:rsidR="00F4607B">
              <w:rPr>
                <w:rFonts w:ascii="標楷體" w:eastAsia="標楷體" w:hAnsi="標楷體" w:cs="細明體"/>
                <w:color w:val="000000"/>
                <w:sz w:val="20"/>
              </w:rPr>
              <w:t>日第</w:t>
            </w:r>
            <w:r w:rsidR="00F4607B">
              <w:rPr>
                <w:rFonts w:ascii="標楷體" w:eastAsia="標楷體" w:hAnsi="標楷體" w:cs="細明體" w:hint="eastAsia"/>
                <w:color w:val="000000"/>
                <w:sz w:val="20"/>
              </w:rPr>
              <w:t>二</w:t>
            </w:r>
            <w:r>
              <w:rPr>
                <w:rFonts w:ascii="標楷體" w:eastAsia="標楷體" w:hAnsi="標楷體" w:cs="細明體"/>
                <w:color w:val="000000"/>
                <w:sz w:val="20"/>
              </w:rPr>
              <w:t>次課程發展委員會議通過</w:t>
            </w:r>
          </w:p>
          <w:p w:rsidR="00490D73" w:rsidRDefault="00490D73" w:rsidP="00490D73">
            <w:pPr>
              <w:pStyle w:val="Web"/>
              <w:snapToGrid w:val="0"/>
              <w:spacing w:before="0" w:after="0"/>
              <w:jc w:val="right"/>
              <w:rPr>
                <w:rFonts w:ascii="標楷體" w:eastAsia="標楷體" w:hAnsi="標楷體" w:cs="細明體"/>
                <w:color w:val="000000"/>
                <w:sz w:val="20"/>
              </w:rPr>
            </w:pPr>
            <w:r>
              <w:rPr>
                <w:rFonts w:ascii="標楷體" w:eastAsia="標楷體" w:hAnsi="標楷體" w:cs="細明體"/>
                <w:color w:val="000000"/>
                <w:sz w:val="20"/>
              </w:rPr>
              <w:t>中華民國11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細明體"/>
                <w:color w:val="000000"/>
                <w:sz w:val="20"/>
              </w:rPr>
              <w:t>年1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</w:rPr>
              <w:t>2</w:t>
            </w:r>
            <w:r>
              <w:rPr>
                <w:rFonts w:ascii="標楷體" w:eastAsia="標楷體" w:hAnsi="標楷體" w:cs="細明體"/>
                <w:color w:val="000000"/>
                <w:sz w:val="20"/>
              </w:rPr>
              <w:t>月2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</w:rPr>
              <w:t>3</w:t>
            </w:r>
            <w:r>
              <w:rPr>
                <w:rFonts w:ascii="標楷體" w:eastAsia="標楷體" w:hAnsi="標楷體" w:cs="細明體"/>
                <w:color w:val="000000"/>
                <w:sz w:val="20"/>
              </w:rPr>
              <w:t>日第</w:t>
            </w:r>
            <w:r>
              <w:rPr>
                <w:rFonts w:ascii="標楷體" w:eastAsia="標楷體" w:hAnsi="標楷體" w:cs="細明體" w:hint="eastAsia"/>
                <w:color w:val="000000"/>
                <w:sz w:val="20"/>
              </w:rPr>
              <w:t>三</w:t>
            </w:r>
            <w:r>
              <w:rPr>
                <w:rFonts w:ascii="標楷體" w:eastAsia="標楷體" w:hAnsi="標楷體" w:cs="細明體"/>
                <w:color w:val="000000"/>
                <w:sz w:val="20"/>
              </w:rPr>
              <w:t>次課程發展委員會議通過</w:t>
            </w:r>
          </w:p>
          <w:p w:rsidR="00570411" w:rsidRPr="00F2358B" w:rsidRDefault="00570411" w:rsidP="00490D73">
            <w:pPr>
              <w:pStyle w:val="Web"/>
              <w:snapToGrid w:val="0"/>
              <w:spacing w:before="0" w:after="0"/>
              <w:jc w:val="right"/>
              <w:rPr>
                <w:rFonts w:ascii="標楷體" w:eastAsia="標楷體" w:hAnsi="標楷體" w:cs="細明體"/>
                <w:sz w:val="20"/>
              </w:rPr>
            </w:pPr>
            <w:r w:rsidRPr="00F2358B">
              <w:rPr>
                <w:rFonts w:ascii="標楷體" w:eastAsia="標楷體" w:hAnsi="標楷體" w:cs="細明體"/>
                <w:sz w:val="20"/>
              </w:rPr>
              <w:t>中華民國11</w:t>
            </w:r>
            <w:r w:rsidRPr="00F2358B">
              <w:rPr>
                <w:rFonts w:ascii="標楷體" w:eastAsia="標楷體" w:hAnsi="標楷體" w:cs="細明體" w:hint="eastAsia"/>
                <w:sz w:val="20"/>
              </w:rPr>
              <w:t>5</w:t>
            </w:r>
            <w:r w:rsidRPr="00F2358B">
              <w:rPr>
                <w:rFonts w:ascii="標楷體" w:eastAsia="標楷體" w:hAnsi="標楷體" w:cs="細明體"/>
                <w:sz w:val="20"/>
              </w:rPr>
              <w:t>年</w:t>
            </w:r>
            <w:r w:rsidRPr="00F2358B">
              <w:rPr>
                <w:rFonts w:ascii="標楷體" w:eastAsia="標楷體" w:hAnsi="標楷體" w:cs="細明體" w:hint="eastAsia"/>
                <w:sz w:val="20"/>
              </w:rPr>
              <w:t>01</w:t>
            </w:r>
            <w:r w:rsidRPr="00F2358B">
              <w:rPr>
                <w:rFonts w:ascii="標楷體" w:eastAsia="標楷體" w:hAnsi="標楷體" w:cs="細明體"/>
                <w:sz w:val="20"/>
              </w:rPr>
              <w:t>月</w:t>
            </w:r>
            <w:r w:rsidRPr="00F2358B">
              <w:rPr>
                <w:rFonts w:ascii="標楷體" w:eastAsia="標楷體" w:hAnsi="標楷體" w:cs="細明體" w:hint="eastAsia"/>
                <w:sz w:val="20"/>
              </w:rPr>
              <w:t>15</w:t>
            </w:r>
            <w:r w:rsidRPr="00F2358B">
              <w:rPr>
                <w:rFonts w:ascii="標楷體" w:eastAsia="標楷體" w:hAnsi="標楷體" w:cs="細明體"/>
                <w:sz w:val="20"/>
              </w:rPr>
              <w:t>日</w:t>
            </w:r>
            <w:r w:rsidRPr="00F2358B">
              <w:rPr>
                <w:rFonts w:ascii="標楷體" w:eastAsia="標楷體" w:hAnsi="標楷體" w:cs="細明體" w:hint="eastAsia"/>
                <w:sz w:val="20"/>
              </w:rPr>
              <w:t>校務會議通過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</w:pPr>
            <w:r>
              <w:rPr>
                <w:rFonts w:ascii="標楷體" w:eastAsia="標楷體" w:hAnsi="標楷體"/>
                <w:color w:val="000000"/>
              </w:rPr>
              <w:t>依據教育部110年3月15日臺教授國部字第1100016363B號令發布修正之「十二年國民基本教育課程綱要總綱」柒、實施要點，訂定本校課程發展委員會組織要點(以下簡稱本要點)。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</w:pPr>
            <w:r>
              <w:rPr>
                <w:rFonts w:ascii="標楷體" w:eastAsia="標楷體" w:hAnsi="標楷體"/>
                <w:color w:val="000000"/>
              </w:rPr>
              <w:t>本校課程發展委員會(以下簡稱本委員會)置委員</w:t>
            </w:r>
            <w:r w:rsidR="001D63B0">
              <w:rPr>
                <w:rFonts w:ascii="標楷體" w:eastAsia="標楷體" w:hAnsi="標楷體"/>
                <w:b/>
                <w:bCs/>
                <w:color w:val="000000"/>
                <w:u w:val="single"/>
              </w:rPr>
              <w:t>3</w:t>
            </w:r>
            <w:r w:rsidR="00F4607B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8</w:t>
            </w:r>
            <w:r>
              <w:rPr>
                <w:rFonts w:ascii="標楷體" w:eastAsia="標楷體" w:hAnsi="標楷體"/>
                <w:color w:val="000000"/>
              </w:rPr>
              <w:t xml:space="preserve">人，委員任期一年，任期自每年八月一日起至隔年七月三十一日止，其組織成員如下： 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召集人：校長。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851" w:hanging="491"/>
              <w:jc w:val="both"/>
            </w:pPr>
            <w:r>
              <w:rPr>
                <w:rFonts w:ascii="標楷體" w:eastAsia="標楷體" w:hAnsi="標楷體"/>
                <w:color w:val="000000"/>
              </w:rPr>
              <w:t>學校行政人員：由各處室主任(教務主任、學務主任、總務主任、實習主任、輔導主任</w:t>
            </w:r>
            <w:r w:rsidR="00F4607B">
              <w:rPr>
                <w:rFonts w:ascii="標楷體" w:eastAsia="標楷體" w:hAnsi="標楷體" w:hint="eastAsia"/>
                <w:color w:val="000000"/>
              </w:rPr>
              <w:t>、進修部主任</w:t>
            </w:r>
            <w:r>
              <w:rPr>
                <w:rFonts w:ascii="標楷體" w:eastAsia="標楷體" w:hAnsi="標楷體"/>
                <w:color w:val="000000"/>
              </w:rPr>
              <w:t>)與教學組長、註冊組長、設備組長</w:t>
            </w:r>
            <w:r w:rsidR="00591E56">
              <w:rPr>
                <w:rFonts w:ascii="標楷體" w:eastAsia="標楷體" w:hAnsi="標楷體" w:hint="eastAsia"/>
                <w:color w:val="000000"/>
              </w:rPr>
              <w:t>、實研組長</w:t>
            </w:r>
            <w:r w:rsidR="00F4607B">
              <w:rPr>
                <w:rFonts w:ascii="標楷體" w:eastAsia="標楷體" w:hAnsi="標楷體" w:hint="eastAsia"/>
                <w:color w:val="000000"/>
              </w:rPr>
              <w:t>、進修部教務組長</w:t>
            </w:r>
            <w:r>
              <w:rPr>
                <w:rFonts w:ascii="標楷體" w:eastAsia="標楷體" w:hAnsi="標楷體"/>
                <w:color w:val="000000"/>
              </w:rPr>
              <w:t>擔任之，共計</w:t>
            </w:r>
            <w:r w:rsidR="00F4607B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人；並由教務主任兼任執行秘書，實習主任兼任副執行秘書。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jc w:val="both"/>
            </w:pPr>
            <w:r>
              <w:rPr>
                <w:rFonts w:ascii="標楷體" w:eastAsia="標楷體" w:hAnsi="標楷體"/>
                <w:color w:val="000000"/>
              </w:rPr>
              <w:t>領域/科目教師：由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/>
              </w:rPr>
              <w:t>各領域/</w:t>
            </w:r>
            <w:r w:rsidR="00591E56">
              <w:rPr>
                <w:rFonts w:ascii="標楷體" w:eastAsia="標楷體" w:hAnsi="標楷體"/>
                <w:color w:val="000000"/>
              </w:rPr>
              <w:t>科目召集人（含語文</w:t>
            </w:r>
            <w:r w:rsidR="00F4607B">
              <w:rPr>
                <w:rFonts w:ascii="標楷體" w:eastAsia="標楷體" w:hAnsi="標楷體" w:hint="eastAsia"/>
                <w:color w:val="000000"/>
              </w:rPr>
              <w:t>領域、</w:t>
            </w:r>
            <w:r w:rsidR="00591E56">
              <w:rPr>
                <w:rFonts w:ascii="標楷體" w:eastAsia="標楷體" w:hAnsi="標楷體"/>
                <w:color w:val="000000"/>
              </w:rPr>
              <w:t>社會領域、英語文領域、數</w:t>
            </w:r>
            <w:r w:rsidR="00591E56">
              <w:rPr>
                <w:rFonts w:ascii="標楷體" w:eastAsia="標楷體" w:hAnsi="標楷體" w:hint="eastAsia"/>
                <w:color w:val="000000"/>
              </w:rPr>
              <w:t>學</w:t>
            </w:r>
            <w:r w:rsidR="00591E56">
              <w:rPr>
                <w:rFonts w:ascii="標楷體" w:eastAsia="標楷體" w:hAnsi="標楷體"/>
                <w:color w:val="000000"/>
              </w:rPr>
              <w:t>領域、</w:t>
            </w:r>
            <w:r w:rsidR="00591E56">
              <w:rPr>
                <w:rFonts w:ascii="標楷體" w:eastAsia="標楷體" w:hAnsi="標楷體" w:hint="eastAsia"/>
                <w:color w:val="000000"/>
              </w:rPr>
              <w:t>自然</w:t>
            </w:r>
            <w:r w:rsidR="00F4607B">
              <w:rPr>
                <w:rFonts w:ascii="標楷體" w:eastAsia="標楷體" w:hAnsi="標楷體"/>
                <w:color w:val="000000"/>
              </w:rPr>
              <w:t>領域與</w:t>
            </w:r>
            <w:r>
              <w:rPr>
                <w:rFonts w:ascii="標楷體" w:eastAsia="標楷體" w:hAnsi="標楷體"/>
                <w:color w:val="000000"/>
              </w:rPr>
              <w:t>藝能領域）擔任之，每領域/科目1人，共計</w:t>
            </w:r>
            <w:r w:rsidR="00F4607B">
              <w:rPr>
                <w:rFonts w:ascii="標楷體" w:eastAsia="標楷體" w:hAnsi="標楷體" w:hint="eastAsia"/>
                <w:b/>
                <w:bCs/>
                <w:color w:val="000000"/>
                <w:u w:val="single"/>
              </w:rPr>
              <w:t>6</w:t>
            </w:r>
            <w:r>
              <w:rPr>
                <w:rFonts w:ascii="標楷體" w:eastAsia="標楷體" w:hAnsi="標楷體"/>
                <w:color w:val="000000"/>
              </w:rPr>
              <w:t>人。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851" w:hanging="491"/>
              <w:jc w:val="both"/>
            </w:pPr>
            <w:r>
              <w:rPr>
                <w:rFonts w:ascii="標楷體" w:eastAsia="標楷體" w:hAnsi="標楷體"/>
                <w:color w:val="000000"/>
                <w:u w:val="single"/>
              </w:rPr>
              <w:t>專業群科(學程)</w:t>
            </w:r>
            <w:r>
              <w:rPr>
                <w:rFonts w:ascii="標楷體" w:eastAsia="標楷體" w:hAnsi="標楷體"/>
                <w:color w:val="000000"/>
              </w:rPr>
              <w:t>教師：由各</w:t>
            </w:r>
            <w:r>
              <w:rPr>
                <w:rFonts w:ascii="標楷體" w:eastAsia="標楷體" w:hAnsi="標楷體"/>
                <w:color w:val="000000"/>
                <w:u w:val="single"/>
              </w:rPr>
              <w:t>專業群科(學程)</w:t>
            </w:r>
            <w:r>
              <w:rPr>
                <w:rFonts w:ascii="標楷體" w:eastAsia="標楷體" w:hAnsi="標楷體"/>
                <w:color w:val="000000"/>
              </w:rPr>
              <w:t>之</w:t>
            </w:r>
            <w:r>
              <w:rPr>
                <w:rFonts w:ascii="標楷體" w:eastAsia="標楷體" w:hAnsi="標楷體"/>
                <w:color w:val="000000"/>
                <w:u w:val="single"/>
              </w:rPr>
              <w:t>科主任或學程</w:t>
            </w:r>
            <w:r>
              <w:rPr>
                <w:rFonts w:ascii="標楷體" w:eastAsia="標楷體" w:hAnsi="標楷體"/>
                <w:color w:val="000000"/>
              </w:rPr>
              <w:t>召集人擔任之，每專業群科(學程)1人，共計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11</w:t>
            </w:r>
            <w:r>
              <w:rPr>
                <w:rFonts w:ascii="標楷體" w:eastAsia="標楷體" w:hAnsi="標楷體"/>
                <w:color w:val="000000"/>
              </w:rPr>
              <w:t>人。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851" w:hanging="491"/>
              <w:jc w:val="both"/>
            </w:pPr>
            <w:r>
              <w:rPr>
                <w:rFonts w:ascii="標楷體" w:eastAsia="標楷體" w:hAnsi="標楷體"/>
                <w:color w:val="000000"/>
              </w:rPr>
              <w:t>特殊需求領域課程教師：由服務群召集人擔任之，共計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人。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851" w:hanging="491"/>
              <w:jc w:val="both"/>
            </w:pPr>
            <w:r>
              <w:rPr>
                <w:rFonts w:ascii="標楷體" w:eastAsia="標楷體" w:hAnsi="標楷體"/>
                <w:color w:val="000000"/>
              </w:rPr>
              <w:t>教師組織代表：由學校教師會推派</w:t>
            </w:r>
            <w:r>
              <w:rPr>
                <w:rFonts w:ascii="標楷體" w:eastAsia="標楷體" w:hAnsi="標楷體"/>
                <w:color w:val="000000"/>
                <w:u w:val="single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人擔任之。</w:t>
            </w:r>
          </w:p>
          <w:p w:rsidR="00893109" w:rsidRPr="00CB19B6" w:rsidRDefault="00CB19B6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851" w:hanging="491"/>
              <w:jc w:val="both"/>
              <w:rPr>
                <w:color w:val="FF0000"/>
              </w:rPr>
            </w:pPr>
            <w:r w:rsidRPr="00F2358B">
              <w:rPr>
                <w:rFonts w:ascii="標楷體" w:eastAsia="標楷體" w:hAnsi="標楷體" w:hint="eastAsia"/>
              </w:rPr>
              <w:t>專家學者代表</w:t>
            </w:r>
            <w:r w:rsidRPr="00F2358B">
              <w:rPr>
                <w:rFonts w:ascii="標楷體" w:eastAsia="標楷體" w:hAnsi="標楷體"/>
              </w:rPr>
              <w:t>：由學校聘任</w:t>
            </w:r>
            <w:r w:rsidRPr="00F2358B">
              <w:rPr>
                <w:rFonts w:ascii="標楷體" w:eastAsia="標楷體" w:hAnsi="標楷體" w:hint="eastAsia"/>
              </w:rPr>
              <w:t>專家學者代表</w:t>
            </w:r>
            <w:r w:rsidRPr="00F2358B">
              <w:rPr>
                <w:rFonts w:ascii="標楷體" w:eastAsia="標楷體" w:hAnsi="標楷體"/>
                <w:u w:val="single"/>
              </w:rPr>
              <w:t>1</w:t>
            </w:r>
            <w:r w:rsidRPr="00F2358B">
              <w:rPr>
                <w:rFonts w:ascii="標楷體" w:eastAsia="標楷體" w:hAnsi="標楷體"/>
              </w:rPr>
              <w:t>人</w:t>
            </w:r>
            <w:r w:rsidRPr="00CB19B6">
              <w:rPr>
                <w:rFonts w:ascii="標楷體" w:eastAsia="標楷體" w:hAnsi="標楷體"/>
              </w:rPr>
              <w:t>擔任之。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851" w:hanging="491"/>
              <w:jc w:val="both"/>
            </w:pPr>
            <w:r>
              <w:rPr>
                <w:rFonts w:ascii="標楷體" w:eastAsia="標楷體" w:hAnsi="標楷體"/>
                <w:color w:val="000000"/>
              </w:rPr>
              <w:t>學生代表：由學生會或經選舉產生之學生代表</w:t>
            </w:r>
            <w:r>
              <w:rPr>
                <w:rFonts w:ascii="標楷體" w:eastAsia="標楷體" w:hAnsi="標楷體"/>
                <w:bCs/>
                <w:color w:val="000000"/>
                <w:u w:val="single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人擔任之。</w:t>
            </w:r>
          </w:p>
          <w:p w:rsidR="00893109" w:rsidRDefault="00B418CE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1134" w:hanging="77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學生家長委員會代表：由學校學生家長委員會推派1人擔任之。</w:t>
            </w:r>
          </w:p>
          <w:p w:rsidR="00591E56" w:rsidRDefault="00591E56">
            <w:pPr>
              <w:pStyle w:val="Web"/>
              <w:numPr>
                <w:ilvl w:val="0"/>
                <w:numId w:val="2"/>
              </w:numPr>
              <w:snapToGrid w:val="0"/>
              <w:spacing w:before="0" w:after="0"/>
              <w:ind w:left="1134" w:hanging="77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各年級教師代表：由各年級教師推派3人擔任之。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本委員會根據總綱的基本理念和課程目標，進行課程發展，其任務如下：</w:t>
            </w:r>
          </w:p>
          <w:p w:rsidR="00893109" w:rsidRDefault="00B418CE">
            <w:pPr>
              <w:pStyle w:val="Web"/>
              <w:numPr>
                <w:ilvl w:val="0"/>
                <w:numId w:val="3"/>
              </w:numPr>
              <w:snapToGrid w:val="0"/>
              <w:spacing w:before="0" w:after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掌握學校教育願景，發展學校本位課程。</w:t>
            </w:r>
          </w:p>
          <w:p w:rsidR="00893109" w:rsidRDefault="00B418CE">
            <w:pPr>
              <w:pStyle w:val="Web"/>
              <w:numPr>
                <w:ilvl w:val="0"/>
                <w:numId w:val="3"/>
              </w:numPr>
              <w:snapToGrid w:val="0"/>
              <w:spacing w:before="0" w:after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統整及審議學校課程計畫。</w:t>
            </w:r>
          </w:p>
          <w:p w:rsidR="00893109" w:rsidRDefault="00B418CE">
            <w:pPr>
              <w:pStyle w:val="Web"/>
              <w:numPr>
                <w:ilvl w:val="0"/>
                <w:numId w:val="3"/>
              </w:numPr>
              <w:snapToGrid w:val="0"/>
              <w:spacing w:before="0" w:after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審查學校教科用書的選用，以及全年級或全校且全學期使用之自編教材。</w:t>
            </w:r>
          </w:p>
          <w:p w:rsidR="00893109" w:rsidRDefault="00B418CE">
            <w:pPr>
              <w:pStyle w:val="Web"/>
              <w:numPr>
                <w:ilvl w:val="0"/>
                <w:numId w:val="3"/>
              </w:numPr>
              <w:snapToGrid w:val="0"/>
              <w:spacing w:before="0" w:after="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進行學校課程自我評鑑，並定期追蹤、檢討和修正。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本委員會其運作方式如下：</w:t>
            </w:r>
          </w:p>
          <w:p w:rsidR="00893109" w:rsidRDefault="00B418CE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本委員會由校長召集並擔任主席，每年定期舉行二次會議，以十月前及六月前各召開一次為原則，必要時得召開臨時會議。</w:t>
            </w:r>
          </w:p>
          <w:p w:rsidR="00893109" w:rsidRDefault="00B418CE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如經委員二分之一以上連署召開時，由校長召集之，得由委員互推一人擔任主席。 </w:t>
            </w:r>
          </w:p>
          <w:p w:rsidR="00893109" w:rsidRDefault="00B418CE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本委員會每年十一月前召開會議時，必須完成審議下學年度學校課程計畫，送所屬教育主管機關備查。</w:t>
            </w:r>
          </w:p>
          <w:p w:rsidR="00893109" w:rsidRDefault="00B418CE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本委員會開會時，應有出席委員三分之二（含）以上之出席，方得開議；須有出席委員二分之一（含）以上之同意，方得議決。</w:t>
            </w:r>
          </w:p>
          <w:p w:rsidR="00893109" w:rsidRDefault="00B418CE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  <w:ind w:left="993" w:hanging="6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本委員會得視需要，另行邀請學者專家、其他相關人員列席諮詢或研討。</w:t>
            </w:r>
          </w:p>
          <w:p w:rsidR="00893109" w:rsidRDefault="00B418CE">
            <w:pPr>
              <w:pStyle w:val="Web"/>
              <w:numPr>
                <w:ilvl w:val="0"/>
                <w:numId w:val="4"/>
              </w:numPr>
              <w:snapToGrid w:val="0"/>
              <w:spacing w:before="0" w:after="0"/>
              <w:ind w:left="993" w:hanging="633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本委員會相關之行政工作，由教務處主辦和實習處協辦。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本委員會設下列組織：(以下簡稱研究會)</w:t>
            </w:r>
          </w:p>
          <w:p w:rsidR="00893109" w:rsidRDefault="00B418CE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  <w:ind w:left="85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各領域/科目教學研究會：由領域/科目教師組成之，由召集人召集並擔任主席。</w:t>
            </w:r>
          </w:p>
          <w:p w:rsidR="00893109" w:rsidRDefault="00B418CE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  <w:ind w:left="85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各專業群科教學研究會：由各科教師組成之，由科主任召集並擔任主席。</w:t>
            </w:r>
          </w:p>
          <w:p w:rsidR="00893109" w:rsidRDefault="00B418CE">
            <w:pPr>
              <w:pStyle w:val="Web"/>
              <w:numPr>
                <w:ilvl w:val="0"/>
                <w:numId w:val="5"/>
              </w:numPr>
              <w:snapToGrid w:val="0"/>
              <w:spacing w:before="0" w:after="0"/>
              <w:ind w:left="851"/>
              <w:jc w:val="both"/>
            </w:pPr>
            <w:r>
              <w:rPr>
                <w:rFonts w:ascii="標楷體" w:eastAsia="標楷體" w:hAnsi="標楷體"/>
                <w:color w:val="000000"/>
              </w:rPr>
              <w:lastRenderedPageBreak/>
              <w:t>各群課程研究會：由該群各科</w:t>
            </w:r>
            <w:r>
              <w:rPr>
                <w:rFonts w:ascii="標楷體" w:eastAsia="標楷體" w:hAnsi="標楷體"/>
                <w:color w:val="000000"/>
                <w:u w:val="single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教師組成之，由該群之科主任互推召集人並擔任主席。研究會針對專業議題討論時，得邀請業界代表或專家學者參加。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各研究會之任務如下：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規劃校訂必修和選修科目，以供學校完成各科和整體課程設計。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規劃跨群科或學科的課程，提供學生多元選修和適性發展的機會。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協助辦理教師甄選事宜。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辦理教師或教師社群的教學專業成長，協助教師教學和專業提升。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辦理教師公開備課、授課和議課，精進教師的教學能力。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發展多元且合適的教學模式和策略，以提升學生學習動機和有效學習。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選用各科目的教科用書，以及研發補充教材或自編教材。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擬定教學評量方式與標準，作為實施教學評量之依據。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協助轉學生原所修課程的認定和後續課程的銜接事宜。</w:t>
            </w:r>
          </w:p>
          <w:p w:rsidR="00893109" w:rsidRDefault="00B418CE">
            <w:pPr>
              <w:pStyle w:val="Web"/>
              <w:numPr>
                <w:ilvl w:val="0"/>
                <w:numId w:val="6"/>
              </w:numPr>
              <w:snapToGrid w:val="0"/>
              <w:spacing w:before="0" w:after="0"/>
              <w:ind w:hanging="29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其他課程研究和發展之相關事宜。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各研究會之運作原則如下：</w:t>
            </w:r>
          </w:p>
          <w:p w:rsidR="00893109" w:rsidRDefault="00B418CE">
            <w:pPr>
              <w:pStyle w:val="Web"/>
              <w:numPr>
                <w:ilvl w:val="0"/>
                <w:numId w:val="7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各領域/科目/專業群科教學研究會每學期舉行二次會議，必要時得召開臨時會議。</w:t>
            </w:r>
          </w:p>
          <w:p w:rsidR="00893109" w:rsidRDefault="00B418CE">
            <w:pPr>
              <w:pStyle w:val="Web"/>
              <w:numPr>
                <w:ilvl w:val="0"/>
                <w:numId w:val="7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每學期召開會議時，必須提出各領域/科目和專業群科之課程計畫、教科用書或自編教材，送請本委員會審查。</w:t>
            </w:r>
          </w:p>
          <w:p w:rsidR="00893109" w:rsidRDefault="00B418CE">
            <w:pPr>
              <w:pStyle w:val="Web"/>
              <w:numPr>
                <w:ilvl w:val="0"/>
                <w:numId w:val="7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各研究會會議由召集人召集，如經委員二分之一以上連署召集時，由召集人召集之，得由連署委員互推一人為主席。</w:t>
            </w:r>
          </w:p>
          <w:p w:rsidR="00893109" w:rsidRDefault="00B418CE">
            <w:pPr>
              <w:pStyle w:val="Web"/>
              <w:numPr>
                <w:ilvl w:val="0"/>
                <w:numId w:val="7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各研究會開會時，應有出席委員三分之二（含）以上之出席，方得開議；須有出席委員二分之一（含）以上之同意，方得議決，投票得採無記名投票或舉手方式行之。</w:t>
            </w:r>
          </w:p>
          <w:p w:rsidR="00893109" w:rsidRDefault="00B418CE">
            <w:pPr>
              <w:pStyle w:val="Web"/>
              <w:numPr>
                <w:ilvl w:val="0"/>
                <w:numId w:val="7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經各研究會審議通過之案件，由科召集人具簽送本委員會會核定後辦理。</w:t>
            </w:r>
          </w:p>
          <w:p w:rsidR="00893109" w:rsidRDefault="00B418CE">
            <w:pPr>
              <w:pStyle w:val="Web"/>
              <w:numPr>
                <w:ilvl w:val="0"/>
                <w:numId w:val="7"/>
              </w:numPr>
              <w:snapToGrid w:val="0"/>
              <w:spacing w:before="0" w:after="0"/>
              <w:ind w:left="851" w:hanging="491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各研究會之行政工作及會議記錄，由各領域/科目/專業群科/各群召集人主辦，教務處和實習處協助之。</w:t>
            </w:r>
          </w:p>
          <w:p w:rsidR="00893109" w:rsidRDefault="00B418CE">
            <w:pPr>
              <w:pStyle w:val="Web"/>
              <w:numPr>
                <w:ilvl w:val="0"/>
                <w:numId w:val="1"/>
              </w:numPr>
              <w:snapToGrid w:val="0"/>
              <w:spacing w:before="0" w:after="0"/>
              <w:ind w:left="567" w:hanging="567"/>
              <w:jc w:val="both"/>
            </w:pPr>
            <w:r>
              <w:rPr>
                <w:rFonts w:ascii="標楷體" w:eastAsia="標楷體" w:hAnsi="標楷體"/>
                <w:color w:val="000000"/>
              </w:rPr>
              <w:t>本組織要點</w:t>
            </w:r>
            <w:r w:rsidRPr="00F2358B">
              <w:rPr>
                <w:rFonts w:ascii="標楷體" w:eastAsia="標楷體" w:hAnsi="標楷體"/>
              </w:rPr>
              <w:t>經</w:t>
            </w:r>
            <w:r w:rsidR="00710B6C" w:rsidRPr="00F2358B">
              <w:rPr>
                <w:rFonts w:ascii="標楷體" w:eastAsia="標楷體" w:hAnsi="標楷體" w:hint="eastAsia"/>
              </w:rPr>
              <w:t>校務</w:t>
            </w:r>
            <w:r w:rsidRPr="00F2358B">
              <w:rPr>
                <w:rFonts w:ascii="標楷體" w:eastAsia="標楷體" w:hAnsi="標楷體"/>
              </w:rPr>
              <w:t>會議通</w:t>
            </w:r>
            <w:r>
              <w:rPr>
                <w:rFonts w:ascii="標楷體" w:eastAsia="標楷體" w:hAnsi="標楷體"/>
                <w:color w:val="000000"/>
              </w:rPr>
              <w:t>過後，陳校長核定後施行。</w:t>
            </w:r>
          </w:p>
        </w:tc>
      </w:tr>
    </w:tbl>
    <w:p w:rsidR="003F1E52" w:rsidRDefault="003F1E52"/>
    <w:sectPr w:rsidR="003F1E52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18B" w:rsidRDefault="0003318B">
      <w:r>
        <w:separator/>
      </w:r>
    </w:p>
  </w:endnote>
  <w:endnote w:type="continuationSeparator" w:id="0">
    <w:p w:rsidR="0003318B" w:rsidRDefault="0003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18B" w:rsidRDefault="0003318B">
      <w:r>
        <w:rPr>
          <w:color w:val="000000"/>
        </w:rPr>
        <w:separator/>
      </w:r>
    </w:p>
  </w:footnote>
  <w:footnote w:type="continuationSeparator" w:id="0">
    <w:p w:rsidR="0003318B" w:rsidRDefault="00033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84E6E"/>
    <w:multiLevelType w:val="multilevel"/>
    <w:tmpl w:val="E3D2922C"/>
    <w:lvl w:ilvl="0">
      <w:start w:val="1"/>
      <w:numFmt w:val="taiwaneseCountingThousand"/>
      <w:lvlText w:val="(%1)"/>
      <w:lvlJc w:val="left"/>
      <w:pPr>
        <w:ind w:left="720" w:hanging="360"/>
      </w:pPr>
      <w:rPr>
        <w:rFonts w:ascii="標楷體" w:eastAsia="標楷體" w:hAnsi="標楷體" w:cs="新細明體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1D434FF"/>
    <w:multiLevelType w:val="multilevel"/>
    <w:tmpl w:val="AA16A060"/>
    <w:lvl w:ilvl="0">
      <w:start w:val="1"/>
      <w:numFmt w:val="taiwaneseCountingThousand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16223E99"/>
    <w:multiLevelType w:val="multilevel"/>
    <w:tmpl w:val="E3D2922C"/>
    <w:lvl w:ilvl="0">
      <w:start w:val="1"/>
      <w:numFmt w:val="taiwaneseCountingThousand"/>
      <w:lvlText w:val="(%1)"/>
      <w:lvlJc w:val="left"/>
      <w:pPr>
        <w:ind w:left="720" w:hanging="360"/>
      </w:pPr>
      <w:rPr>
        <w:rFonts w:ascii="標楷體" w:eastAsia="標楷體" w:hAnsi="標楷體" w:cs="新細明體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1E78162C"/>
    <w:multiLevelType w:val="multilevel"/>
    <w:tmpl w:val="EEAA9118"/>
    <w:lvl w:ilvl="0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4" w15:restartNumberingAfterBreak="0">
    <w:nsid w:val="383A4D85"/>
    <w:multiLevelType w:val="hybridMultilevel"/>
    <w:tmpl w:val="A518176E"/>
    <w:lvl w:ilvl="0" w:tplc="7F8CB3B4">
      <w:start w:val="2"/>
      <w:numFmt w:val="taiwaneseCountingThousand"/>
      <w:lvlText w:val="%1、"/>
      <w:lvlJc w:val="left"/>
      <w:pPr>
        <w:ind w:left="547" w:hanging="54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A626E74"/>
    <w:multiLevelType w:val="multilevel"/>
    <w:tmpl w:val="4272968A"/>
    <w:lvl w:ilvl="0">
      <w:start w:val="1"/>
      <w:numFmt w:val="taiwaneseCountingThousand"/>
      <w:lvlText w:val="(%1)"/>
      <w:lvlJc w:val="left"/>
      <w:pPr>
        <w:ind w:left="720" w:hanging="360"/>
      </w:pPr>
      <w:rPr>
        <w:rFonts w:cs="新細明體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58E87D82"/>
    <w:multiLevelType w:val="multilevel"/>
    <w:tmpl w:val="75EA29F6"/>
    <w:lvl w:ilvl="0">
      <w:start w:val="1"/>
      <w:numFmt w:val="taiwaneseCountingThousand"/>
      <w:lvlText w:val="(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1907644"/>
    <w:multiLevelType w:val="multilevel"/>
    <w:tmpl w:val="B2B099B2"/>
    <w:lvl w:ilvl="0">
      <w:start w:val="1"/>
      <w:numFmt w:val="taiwaneseCountingThousand"/>
      <w:lvlText w:val="(%1)"/>
      <w:lvlJc w:val="left"/>
      <w:pPr>
        <w:ind w:left="1047" w:hanging="480"/>
      </w:pPr>
      <w:rPr>
        <w:rFonts w:cs="新細明體"/>
        <w:color w:val="000000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9A57671"/>
    <w:multiLevelType w:val="multilevel"/>
    <w:tmpl w:val="176AB974"/>
    <w:lvl w:ilvl="0">
      <w:start w:val="1"/>
      <w:numFmt w:val="taiwaneseCountingThousand"/>
      <w:lvlText w:val="(%1)"/>
      <w:lvlJc w:val="left"/>
      <w:pPr>
        <w:ind w:left="720" w:hanging="360"/>
      </w:pPr>
      <w:rPr>
        <w:rFonts w:cs="新細明體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109"/>
    <w:rsid w:val="0003318B"/>
    <w:rsid w:val="001D63B0"/>
    <w:rsid w:val="00227990"/>
    <w:rsid w:val="002537B1"/>
    <w:rsid w:val="003F1E52"/>
    <w:rsid w:val="00412807"/>
    <w:rsid w:val="00490D73"/>
    <w:rsid w:val="004E30E3"/>
    <w:rsid w:val="00570411"/>
    <w:rsid w:val="0059037E"/>
    <w:rsid w:val="00591E56"/>
    <w:rsid w:val="00710B6C"/>
    <w:rsid w:val="00893109"/>
    <w:rsid w:val="00925A68"/>
    <w:rsid w:val="009F2617"/>
    <w:rsid w:val="00A7703C"/>
    <w:rsid w:val="00B418CE"/>
    <w:rsid w:val="00CB19B6"/>
    <w:rsid w:val="00F2358B"/>
    <w:rsid w:val="00F4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35011"/>
  <w15:docId w15:val="{50BE5362-5DAC-4B19-80D1-17162C22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Web">
    <w:name w:val="Normal (Web)"/>
    <w:basedOn w:val="a"/>
    <w:uiPriority w:val="99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styleId="a8">
    <w:name w:val="Intense Emphasis"/>
    <w:basedOn w:val="a0"/>
    <w:rPr>
      <w:i/>
      <w:iCs/>
      <w:color w:val="5B9BD5"/>
    </w:rPr>
  </w:style>
  <w:style w:type="paragraph" w:customStyle="1" w:styleId="Default">
    <w:name w:val="Default"/>
    <w:rsid w:val="003F1E52"/>
    <w:pPr>
      <w:widowControl w:val="0"/>
      <w:autoSpaceDE w:val="0"/>
      <w:adjustRightInd w:val="0"/>
      <w:textAlignment w:val="auto"/>
    </w:pPr>
    <w:rPr>
      <w:rFonts w:ascii="Times New Roman" w:hAnsi="Times New Roman"/>
      <w:color w:val="000000"/>
      <w:kern w:val="0"/>
      <w:szCs w:val="24"/>
    </w:rPr>
  </w:style>
  <w:style w:type="table" w:styleId="a9">
    <w:name w:val="Table Grid"/>
    <w:basedOn w:val="a1"/>
    <w:uiPriority w:val="39"/>
    <w:rsid w:val="003F1E52"/>
    <w:pPr>
      <w:autoSpaceDN/>
      <w:textAlignment w:val="auto"/>
    </w:pPr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3F1E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scvs</dc:creator>
  <cp:lastModifiedBy>user</cp:lastModifiedBy>
  <cp:revision>4</cp:revision>
  <dcterms:created xsi:type="dcterms:W3CDTF">2026-01-06T01:22:00Z</dcterms:created>
  <dcterms:modified xsi:type="dcterms:W3CDTF">2026-02-23T05:36:00Z</dcterms:modified>
</cp:coreProperties>
</file>